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730EAB" w:rsidRDefault="006713B9" w:rsidP="006713B9">
      <w:pPr>
        <w:rPr>
          <w:rFonts w:ascii="Times New Roman" w:hAnsi="Times New Roman" w:cs="Times New Roman"/>
          <w:b/>
          <w:sz w:val="28"/>
          <w:szCs w:val="28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2409825</wp:posOffset>
                </wp:positionH>
                <wp:positionV relativeFrom="margin">
                  <wp:posOffset>714375</wp:posOffset>
                </wp:positionV>
                <wp:extent cx="4324350" cy="196215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1962150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Pr="006713B9" w:rsidRDefault="002E0A24" w:rsidP="000429F7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6713B9">
                                <w:rPr>
                                  <w:b/>
                                  <w:color w:val="FFFFFF" w:themeColor="background1"/>
                                </w:rPr>
                                <w:t>2-Year Proje</w:t>
                              </w:r>
                              <w:r w:rsidR="00D935FB" w:rsidRPr="006713B9">
                                <w:rPr>
                                  <w:b/>
                                  <w:color w:val="FFFFFF" w:themeColor="background1"/>
                                </w:rPr>
                                <w:t>cted (20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18</w:t>
                              </w:r>
                              <w:r w:rsidR="00D935FB" w:rsidRPr="006713B9">
                                <w:rPr>
                                  <w:b/>
                                  <w:color w:val="FFFFFF" w:themeColor="background1"/>
                                </w:rPr>
                                <w:t>-20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20</w:t>
                              </w:r>
                              <w:r w:rsidR="00D935F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) Growth Rate:  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3</w:t>
                              </w:r>
                              <w:r w:rsidR="00960BD9" w:rsidRPr="006713B9">
                                <w:rPr>
                                  <w:b/>
                                  <w:color w:val="FFFFFF" w:themeColor="background1"/>
                                </w:rPr>
                                <w:t>.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45</w:t>
                              </w:r>
                              <w:r w:rsidRPr="006713B9">
                                <w:rPr>
                                  <w:b/>
                                  <w:color w:val="FFFFFF" w:themeColor="background1"/>
                                </w:rPr>
                                <w:t>%</w:t>
                              </w:r>
                              <w:r w:rsidR="000429F7" w:rsidRPr="006713B9"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  <w:t xml:space="preserve">Biggest Gain:  </w:t>
                              </w:r>
                              <w:r w:rsidR="00960BD9" w:rsidRPr="006713B9">
                                <w:rPr>
                                  <w:b/>
                                  <w:color w:val="FFFFFF" w:themeColor="background1"/>
                                </w:rPr>
                                <w:t>Helpers--Production Workers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(51-9198) – 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624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jobs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  <w:t xml:space="preserve">Fastest Gain:  </w:t>
                              </w:r>
                              <w:r w:rsidR="006713B9" w:rsidRPr="006713B9">
                                <w:rPr>
                                  <w:b/>
                                  <w:color w:val="FFFFFF" w:themeColor="background1"/>
                                </w:rPr>
                                <w:t>Cutters and Trimmers, Hand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>(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51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>-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9031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) – 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61.</w:t>
                              </w:r>
                              <w:r w:rsidR="00A523B4">
                                <w:rPr>
                                  <w:b/>
                                  <w:color w:val="FFFFFF" w:themeColor="background1"/>
                                </w:rPr>
                                <w:t>9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0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>%</w:t>
                              </w:r>
                              <w:r w:rsidR="000429F7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429F7" w:rsidRPr="006713B9"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  <w:t xml:space="preserve">Biggest 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Loser:  </w:t>
                              </w:r>
                              <w:r w:rsidR="006713B9" w:rsidRPr="006713B9">
                                <w:rPr>
                                  <w:b/>
                                  <w:color w:val="FFFFFF" w:themeColor="background1"/>
                                </w:rPr>
                                <w:t>Coil Winders, Tapers, and Finishers (51-2021)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– 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40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jobs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</w:r>
                              <w:r w:rsidR="000429F7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Fastest Loser:   </w:t>
                              </w:r>
                              <w:r w:rsidR="006713B9" w:rsidRPr="006713B9">
                                <w:rPr>
                                  <w:b/>
                                  <w:color w:val="FFFFFF" w:themeColor="background1"/>
                                </w:rPr>
                                <w:t>Gas Plant Operators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 xml:space="preserve"> (51-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8092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>) – 1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4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>.8</w:t>
                              </w:r>
                              <w:r w:rsidR="006713B9">
                                <w:rPr>
                                  <w:b/>
                                  <w:color w:val="FFFFFF" w:themeColor="background1"/>
                                </w:rPr>
                                <w:t>1</w:t>
                              </w:r>
                              <w:r w:rsidR="00730EAB" w:rsidRPr="006713B9">
                                <w:rPr>
                                  <w:b/>
                                  <w:color w:val="FFFFFF" w:themeColor="background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6713B9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6713B9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Short-Term Outlook</w:t>
                              </w:r>
                              <w:r w:rsidR="0029218E" w:rsidRPr="006713B9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 xml:space="preserve"> 20</w:t>
                              </w:r>
                              <w:r w:rsidR="00A523B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18</w:t>
                              </w:r>
                              <w:r w:rsidR="0029218E" w:rsidRPr="006713B9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-20</w:t>
                              </w:r>
                              <w:r w:rsidR="00A523B4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32"/>
                                  <w:szCs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189.75pt;margin-top:56.25pt;width:340.5pt;height:154.5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Pr="006713B9" w:rsidRDefault="002E0A24" w:rsidP="000429F7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 w:rsidRPr="006713B9">
                          <w:rPr>
                            <w:b/>
                            <w:color w:val="FFFFFF" w:themeColor="background1"/>
                          </w:rPr>
                          <w:t>2-Year Proje</w:t>
                        </w:r>
                        <w:r w:rsidR="00D935FB" w:rsidRPr="006713B9">
                          <w:rPr>
                            <w:b/>
                            <w:color w:val="FFFFFF" w:themeColor="background1"/>
                          </w:rPr>
                          <w:t>cted (20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18</w:t>
                        </w:r>
                        <w:r w:rsidR="00D935FB" w:rsidRPr="006713B9">
                          <w:rPr>
                            <w:b/>
                            <w:color w:val="FFFFFF" w:themeColor="background1"/>
                          </w:rPr>
                          <w:t>-20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20</w:t>
                        </w:r>
                        <w:r w:rsidR="00D935FB" w:rsidRPr="006713B9">
                          <w:rPr>
                            <w:b/>
                            <w:color w:val="FFFFFF" w:themeColor="background1"/>
                          </w:rPr>
                          <w:t xml:space="preserve">) Growth Rate:  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3</w:t>
                        </w:r>
                        <w:r w:rsidR="00960BD9" w:rsidRPr="006713B9">
                          <w:rPr>
                            <w:b/>
                            <w:color w:val="FFFFFF" w:themeColor="background1"/>
                          </w:rPr>
                          <w:t>.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45</w:t>
                        </w:r>
                        <w:r w:rsidRPr="006713B9">
                          <w:rPr>
                            <w:b/>
                            <w:color w:val="FFFFFF" w:themeColor="background1"/>
                          </w:rPr>
                          <w:t>%</w:t>
                        </w:r>
                        <w:r w:rsidR="000429F7" w:rsidRPr="006713B9">
                          <w:rPr>
                            <w:b/>
                            <w:color w:val="FFFFFF" w:themeColor="background1"/>
                          </w:rPr>
                          <w:br/>
                          <w:t xml:space="preserve">Biggest Gain:  </w:t>
                        </w:r>
                        <w:r w:rsidR="00960BD9" w:rsidRPr="006713B9">
                          <w:rPr>
                            <w:b/>
                            <w:color w:val="FFFFFF" w:themeColor="background1"/>
                          </w:rPr>
                          <w:t>Helpers--Production Workers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 (51-9198) – 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624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 jobs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br/>
                          <w:t xml:space="preserve">Fastest Gain:  </w:t>
                        </w:r>
                        <w:r w:rsidR="006713B9" w:rsidRPr="006713B9">
                          <w:rPr>
                            <w:b/>
                            <w:color w:val="FFFFFF" w:themeColor="background1"/>
                          </w:rPr>
                          <w:t>Cutters and Trimmers, Hand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>(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51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>-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9031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) – 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61.</w:t>
                        </w:r>
                        <w:r w:rsidR="00A523B4">
                          <w:rPr>
                            <w:b/>
                            <w:color w:val="FFFFFF" w:themeColor="background1"/>
                          </w:rPr>
                          <w:t>9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0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>%</w:t>
                        </w:r>
                        <w:r w:rsidR="000429F7" w:rsidRPr="006713B9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0429F7" w:rsidRPr="006713B9">
                          <w:rPr>
                            <w:b/>
                            <w:color w:val="FFFFFF" w:themeColor="background1"/>
                          </w:rPr>
                          <w:br/>
                          <w:t xml:space="preserve">Biggest 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Loser:  </w:t>
                        </w:r>
                        <w:r w:rsidR="006713B9" w:rsidRPr="006713B9">
                          <w:rPr>
                            <w:b/>
                            <w:color w:val="FFFFFF" w:themeColor="background1"/>
                          </w:rPr>
                          <w:t>Coil Winders, Tapers, and Finishers (51-2021)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– 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40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 jobs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br/>
                        </w:r>
                        <w:r w:rsidR="000429F7" w:rsidRPr="006713B9">
                          <w:rPr>
                            <w:b/>
                            <w:color w:val="FFFFFF" w:themeColor="background1"/>
                          </w:rPr>
                          <w:t xml:space="preserve">Fastest Loser:   </w:t>
                        </w:r>
                        <w:r w:rsidR="006713B9" w:rsidRPr="006713B9">
                          <w:rPr>
                            <w:b/>
                            <w:color w:val="FFFFFF" w:themeColor="background1"/>
                          </w:rPr>
                          <w:t>Gas Plant Operators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 xml:space="preserve"> (51-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8092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>) – 1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4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>.8</w:t>
                        </w:r>
                        <w:r w:rsidR="006713B9">
                          <w:rPr>
                            <w:b/>
                            <w:color w:val="FFFFFF" w:themeColor="background1"/>
                          </w:rPr>
                          <w:t>1</w:t>
                        </w:r>
                        <w:r w:rsidR="00730EAB" w:rsidRPr="006713B9">
                          <w:rPr>
                            <w:b/>
                            <w:color w:val="FFFFFF" w:themeColor="background1"/>
                          </w:rPr>
                          <w:t>%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6713B9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</w:pPr>
                        <w:r w:rsidRPr="006713B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Short-Term Outlook</w:t>
                        </w:r>
                        <w:r w:rsidR="0029218E" w:rsidRPr="006713B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 xml:space="preserve"> 20</w:t>
                        </w:r>
                        <w:r w:rsidR="00A523B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18</w:t>
                        </w:r>
                        <w:r w:rsidR="0029218E" w:rsidRPr="006713B9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-20</w:t>
                        </w:r>
                        <w:r w:rsidR="00A523B4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32"/>
                            <w:szCs w:val="32"/>
                          </w:rPr>
                          <w:t>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6713B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674370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3B9" w:rsidRPr="006713B9" w:rsidRDefault="006713B9" w:rsidP="006713B9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713B9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Production Occupations (51-0000)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.75pt;margin-top:0;width:531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" fillcolor="#823b0b [1605]">
                <v:textbox>
                  <w:txbxContent>
                    <w:p w:rsidR="006713B9" w:rsidRPr="006713B9" w:rsidRDefault="006713B9" w:rsidP="006713B9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6713B9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Production Occupations (51-0000)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62C4">
        <w:rPr>
          <w:rFonts w:ascii="Times New Roman" w:hAnsi="Times New Roman" w:cs="Times New Roman"/>
          <w:b/>
          <w:sz w:val="24"/>
          <w:szCs w:val="24"/>
        </w:rPr>
        <w:t>Production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9B787B">
        <w:rPr>
          <w:rFonts w:ascii="Times New Roman" w:hAnsi="Times New Roman" w:cs="Times New Roman"/>
          <w:sz w:val="24"/>
          <w:szCs w:val="24"/>
        </w:rPr>
        <w:t>4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8262C4">
        <w:rPr>
          <w:rFonts w:ascii="Times New Roman" w:hAnsi="Times New Roman" w:cs="Times New Roman"/>
          <w:sz w:val="24"/>
          <w:szCs w:val="24"/>
        </w:rPr>
        <w:t>0</w:t>
      </w:r>
      <w:r w:rsidR="009B787B">
        <w:rPr>
          <w:rFonts w:ascii="Times New Roman" w:hAnsi="Times New Roman" w:cs="Times New Roman"/>
          <w:sz w:val="24"/>
          <w:szCs w:val="24"/>
        </w:rPr>
        <w:t>37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9B787B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9B787B">
        <w:rPr>
          <w:rFonts w:ascii="Times New Roman" w:hAnsi="Times New Roman" w:cs="Times New Roman"/>
          <w:sz w:val="24"/>
          <w:szCs w:val="24"/>
        </w:rPr>
        <w:t>45</w:t>
      </w:r>
      <w:r w:rsidR="00773BB3">
        <w:rPr>
          <w:rFonts w:ascii="Times New Roman" w:hAnsi="Times New Roman" w:cs="Times New Roman"/>
          <w:sz w:val="24"/>
          <w:szCs w:val="24"/>
        </w:rPr>
        <w:t xml:space="preserve"> percent.  Of the </w:t>
      </w:r>
      <w:r w:rsidR="009B787B">
        <w:rPr>
          <w:rFonts w:ascii="Times New Roman" w:hAnsi="Times New Roman" w:cs="Times New Roman"/>
          <w:sz w:val="24"/>
          <w:szCs w:val="24"/>
        </w:rPr>
        <w:t>15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9B787B">
        <w:rPr>
          <w:rFonts w:ascii="Times New Roman" w:hAnsi="Times New Roman" w:cs="Times New Roman"/>
          <w:sz w:val="24"/>
          <w:szCs w:val="24"/>
        </w:rPr>
        <w:t>507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8262C4">
        <w:rPr>
          <w:rFonts w:ascii="Times New Roman" w:hAnsi="Times New Roman" w:cs="Times New Roman"/>
          <w:sz w:val="24"/>
          <w:szCs w:val="24"/>
        </w:rPr>
        <w:t>4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8262C4">
        <w:rPr>
          <w:rFonts w:ascii="Times New Roman" w:hAnsi="Times New Roman" w:cs="Times New Roman"/>
          <w:sz w:val="24"/>
          <w:szCs w:val="24"/>
        </w:rPr>
        <w:t>8</w:t>
      </w:r>
      <w:r w:rsidR="009B787B">
        <w:rPr>
          <w:rFonts w:ascii="Times New Roman" w:hAnsi="Times New Roman" w:cs="Times New Roman"/>
          <w:sz w:val="24"/>
          <w:szCs w:val="24"/>
        </w:rPr>
        <w:t>59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8262C4">
        <w:rPr>
          <w:rFonts w:ascii="Times New Roman" w:hAnsi="Times New Roman" w:cs="Times New Roman"/>
          <w:sz w:val="24"/>
          <w:szCs w:val="24"/>
        </w:rPr>
        <w:t>8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9B787B">
        <w:rPr>
          <w:rFonts w:ascii="Times New Roman" w:hAnsi="Times New Roman" w:cs="Times New Roman"/>
          <w:sz w:val="24"/>
          <w:szCs w:val="24"/>
        </w:rPr>
        <w:t>630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</w:t>
      </w:r>
      <w:r w:rsidR="009B787B">
        <w:rPr>
          <w:rFonts w:ascii="Times New Roman" w:hAnsi="Times New Roman" w:cs="Times New Roman"/>
          <w:sz w:val="24"/>
          <w:szCs w:val="24"/>
        </w:rPr>
        <w:t>2,01</w:t>
      </w:r>
      <w:r w:rsidR="00A523B4">
        <w:rPr>
          <w:rFonts w:ascii="Times New Roman" w:hAnsi="Times New Roman" w:cs="Times New Roman"/>
          <w:sz w:val="24"/>
          <w:szCs w:val="24"/>
        </w:rPr>
        <w:t>8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8262C4">
        <w:rPr>
          <w:rFonts w:ascii="Times New Roman" w:hAnsi="Times New Roman" w:cs="Times New Roman"/>
          <w:sz w:val="24"/>
          <w:szCs w:val="24"/>
        </w:rPr>
        <w:t>.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8262C4" w:rsidRPr="008262C4">
        <w:rPr>
          <w:rFonts w:ascii="Times New Roman" w:hAnsi="Times New Roman" w:cs="Times New Roman"/>
          <w:b/>
          <w:i/>
          <w:sz w:val="24"/>
          <w:szCs w:val="24"/>
        </w:rPr>
        <w:t>Supervisors of Production Workers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9B787B">
        <w:rPr>
          <w:rFonts w:ascii="Times New Roman" w:hAnsi="Times New Roman" w:cs="Times New Roman"/>
          <w:sz w:val="24"/>
          <w:szCs w:val="24"/>
        </w:rPr>
        <w:t>324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9B787B">
        <w:rPr>
          <w:rFonts w:ascii="Times New Roman" w:hAnsi="Times New Roman" w:cs="Times New Roman"/>
          <w:sz w:val="24"/>
          <w:szCs w:val="24"/>
        </w:rPr>
        <w:t>3.92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The occupational family is expecting around </w:t>
      </w:r>
      <w:r w:rsidR="008262C4">
        <w:rPr>
          <w:rFonts w:ascii="Times New Roman" w:hAnsi="Times New Roman" w:cs="Times New Roman"/>
          <w:sz w:val="24"/>
          <w:szCs w:val="24"/>
        </w:rPr>
        <w:t>9</w:t>
      </w:r>
      <w:r w:rsidR="009B787B">
        <w:rPr>
          <w:rFonts w:ascii="Times New Roman" w:hAnsi="Times New Roman" w:cs="Times New Roman"/>
          <w:sz w:val="24"/>
          <w:szCs w:val="24"/>
        </w:rPr>
        <w:t>69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A523B4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62C4" w:rsidRPr="008262C4">
        <w:rPr>
          <w:rFonts w:ascii="Times New Roman" w:hAnsi="Times New Roman" w:cs="Times New Roman"/>
          <w:b/>
          <w:i/>
          <w:sz w:val="24"/>
          <w:szCs w:val="24"/>
        </w:rPr>
        <w:t>Assemblers and Fabricators</w:t>
      </w:r>
      <w:r w:rsidR="00826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C4" w:rsidRPr="008262C4">
        <w:rPr>
          <w:rFonts w:ascii="Times New Roman" w:hAnsi="Times New Roman" w:cs="Times New Roman"/>
          <w:sz w:val="24"/>
          <w:szCs w:val="24"/>
        </w:rPr>
        <w:t>is forecast to</w:t>
      </w:r>
      <w:r w:rsidR="008262C4">
        <w:rPr>
          <w:rFonts w:ascii="Times New Roman" w:hAnsi="Times New Roman" w:cs="Times New Roman"/>
          <w:sz w:val="24"/>
          <w:szCs w:val="24"/>
        </w:rPr>
        <w:t xml:space="preserve"> </w:t>
      </w:r>
      <w:r w:rsidR="009B787B">
        <w:rPr>
          <w:rFonts w:ascii="Times New Roman" w:hAnsi="Times New Roman" w:cs="Times New Roman"/>
          <w:sz w:val="24"/>
          <w:szCs w:val="24"/>
        </w:rPr>
        <w:t>gain</w:t>
      </w:r>
      <w:r w:rsidR="008262C4">
        <w:rPr>
          <w:rFonts w:ascii="Times New Roman" w:hAnsi="Times New Roman" w:cs="Times New Roman"/>
          <w:sz w:val="24"/>
          <w:szCs w:val="24"/>
        </w:rPr>
        <w:t xml:space="preserve"> </w:t>
      </w:r>
      <w:r w:rsidR="009B787B">
        <w:rPr>
          <w:rFonts w:ascii="Times New Roman" w:hAnsi="Times New Roman" w:cs="Times New Roman"/>
          <w:sz w:val="24"/>
          <w:szCs w:val="24"/>
        </w:rPr>
        <w:t>224</w:t>
      </w:r>
      <w:r w:rsidR="008262C4">
        <w:rPr>
          <w:rFonts w:ascii="Times New Roman" w:hAnsi="Times New Roman" w:cs="Times New Roman"/>
          <w:sz w:val="24"/>
          <w:szCs w:val="24"/>
        </w:rPr>
        <w:t xml:space="preserve"> jobs between 20</w:t>
      </w:r>
      <w:r w:rsidR="009B787B">
        <w:rPr>
          <w:rFonts w:ascii="Times New Roman" w:hAnsi="Times New Roman" w:cs="Times New Roman"/>
          <w:sz w:val="24"/>
          <w:szCs w:val="24"/>
        </w:rPr>
        <w:t>18</w:t>
      </w:r>
      <w:r w:rsidR="008262C4">
        <w:rPr>
          <w:rFonts w:ascii="Times New Roman" w:hAnsi="Times New Roman" w:cs="Times New Roman"/>
          <w:sz w:val="24"/>
          <w:szCs w:val="24"/>
        </w:rPr>
        <w:t xml:space="preserve"> and 20</w:t>
      </w:r>
      <w:r w:rsidR="009B787B">
        <w:rPr>
          <w:rFonts w:ascii="Times New Roman" w:hAnsi="Times New Roman" w:cs="Times New Roman"/>
          <w:sz w:val="24"/>
          <w:szCs w:val="24"/>
        </w:rPr>
        <w:t>20</w:t>
      </w:r>
      <w:r w:rsidR="008262C4">
        <w:rPr>
          <w:rFonts w:ascii="Times New Roman" w:hAnsi="Times New Roman" w:cs="Times New Roman"/>
          <w:sz w:val="24"/>
          <w:szCs w:val="24"/>
        </w:rPr>
        <w:t xml:space="preserve">.  Team Assemblers is expected to </w:t>
      </w:r>
      <w:r w:rsidR="009B787B">
        <w:rPr>
          <w:rFonts w:ascii="Times New Roman" w:hAnsi="Times New Roman" w:cs="Times New Roman"/>
          <w:sz w:val="24"/>
          <w:szCs w:val="24"/>
        </w:rPr>
        <w:t>gain</w:t>
      </w:r>
      <w:r w:rsidR="008262C4">
        <w:rPr>
          <w:rFonts w:ascii="Times New Roman" w:hAnsi="Times New Roman" w:cs="Times New Roman"/>
          <w:sz w:val="24"/>
          <w:szCs w:val="24"/>
        </w:rPr>
        <w:t xml:space="preserve"> </w:t>
      </w:r>
      <w:r w:rsidR="009B787B">
        <w:rPr>
          <w:rFonts w:ascii="Times New Roman" w:hAnsi="Times New Roman" w:cs="Times New Roman"/>
          <w:sz w:val="24"/>
          <w:szCs w:val="24"/>
        </w:rPr>
        <w:t>206</w:t>
      </w:r>
      <w:r w:rsidR="008262C4" w:rsidRPr="008262C4">
        <w:rPr>
          <w:rFonts w:ascii="Times New Roman" w:hAnsi="Times New Roman" w:cs="Times New Roman"/>
          <w:sz w:val="24"/>
          <w:szCs w:val="24"/>
        </w:rPr>
        <w:t xml:space="preserve"> </w:t>
      </w:r>
      <w:r w:rsidR="008262C4">
        <w:rPr>
          <w:rFonts w:ascii="Times New Roman" w:hAnsi="Times New Roman" w:cs="Times New Roman"/>
          <w:sz w:val="24"/>
          <w:szCs w:val="24"/>
        </w:rPr>
        <w:t xml:space="preserve">jobs, while </w:t>
      </w:r>
      <w:r w:rsidR="008262C4" w:rsidRPr="008262C4">
        <w:rPr>
          <w:rFonts w:ascii="Times New Roman" w:hAnsi="Times New Roman" w:cs="Times New Roman"/>
          <w:sz w:val="24"/>
          <w:szCs w:val="24"/>
        </w:rPr>
        <w:t>Coil Winders, Tapers, and Finishers</w:t>
      </w:r>
      <w:r w:rsidR="008262C4">
        <w:rPr>
          <w:rFonts w:ascii="Times New Roman" w:hAnsi="Times New Roman" w:cs="Times New Roman"/>
          <w:sz w:val="24"/>
          <w:szCs w:val="24"/>
        </w:rPr>
        <w:t xml:space="preserve"> is expected to </w:t>
      </w:r>
      <w:r w:rsidR="009B787B">
        <w:rPr>
          <w:rFonts w:ascii="Times New Roman" w:hAnsi="Times New Roman" w:cs="Times New Roman"/>
          <w:sz w:val="24"/>
          <w:szCs w:val="24"/>
        </w:rPr>
        <w:t>go in reverse losing 40 jobs, or 11.73 percent of its workforce.</w:t>
      </w:r>
      <w:r w:rsidR="008262C4">
        <w:rPr>
          <w:rFonts w:ascii="Times New Roman" w:hAnsi="Times New Roman" w:cs="Times New Roman"/>
          <w:sz w:val="24"/>
          <w:szCs w:val="24"/>
        </w:rPr>
        <w:t xml:space="preserve">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9B787B">
        <w:rPr>
          <w:rFonts w:ascii="Times New Roman" w:hAnsi="Times New Roman" w:cs="Times New Roman"/>
          <w:sz w:val="24"/>
          <w:szCs w:val="24"/>
        </w:rPr>
        <w:t>2</w:t>
      </w:r>
      <w:r w:rsidR="008262C4">
        <w:rPr>
          <w:rFonts w:ascii="Times New Roman" w:hAnsi="Times New Roman" w:cs="Times New Roman"/>
          <w:sz w:val="24"/>
          <w:szCs w:val="24"/>
        </w:rPr>
        <w:t>,</w:t>
      </w:r>
      <w:r w:rsidR="009B787B">
        <w:rPr>
          <w:rFonts w:ascii="Times New Roman" w:hAnsi="Times New Roman" w:cs="Times New Roman"/>
          <w:sz w:val="24"/>
          <w:szCs w:val="24"/>
        </w:rPr>
        <w:t>010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openings are anticipated</w:t>
      </w:r>
      <w:r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A523B4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3273" w:rsidRPr="00543273">
        <w:rPr>
          <w:rFonts w:ascii="Times New Roman" w:hAnsi="Times New Roman" w:cs="Times New Roman"/>
          <w:b/>
          <w:i/>
          <w:sz w:val="24"/>
          <w:szCs w:val="24"/>
        </w:rPr>
        <w:t>Food Processing Workers</w:t>
      </w:r>
      <w:r w:rsidR="005432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3273" w:rsidRPr="00543273">
        <w:rPr>
          <w:rFonts w:ascii="Times New Roman" w:hAnsi="Times New Roman" w:cs="Times New Roman"/>
          <w:sz w:val="24"/>
          <w:szCs w:val="24"/>
        </w:rPr>
        <w:t xml:space="preserve">is anticipated to raise employment </w:t>
      </w:r>
      <w:r w:rsidR="009B787B">
        <w:rPr>
          <w:rFonts w:ascii="Times New Roman" w:hAnsi="Times New Roman" w:cs="Times New Roman"/>
          <w:sz w:val="24"/>
          <w:szCs w:val="24"/>
        </w:rPr>
        <w:t>987</w:t>
      </w:r>
      <w:r w:rsidR="00543273" w:rsidRPr="00543273">
        <w:rPr>
          <w:rFonts w:ascii="Times New Roman" w:hAnsi="Times New Roman" w:cs="Times New Roman"/>
          <w:sz w:val="24"/>
          <w:szCs w:val="24"/>
        </w:rPr>
        <w:t xml:space="preserve">, a </w:t>
      </w:r>
      <w:r w:rsidR="009B787B">
        <w:rPr>
          <w:rFonts w:ascii="Times New Roman" w:hAnsi="Times New Roman" w:cs="Times New Roman"/>
          <w:sz w:val="24"/>
          <w:szCs w:val="24"/>
        </w:rPr>
        <w:t>5</w:t>
      </w:r>
      <w:r w:rsidR="00543273" w:rsidRPr="00543273">
        <w:rPr>
          <w:rFonts w:ascii="Times New Roman" w:hAnsi="Times New Roman" w:cs="Times New Roman"/>
          <w:sz w:val="24"/>
          <w:szCs w:val="24"/>
        </w:rPr>
        <w:t>.</w:t>
      </w:r>
      <w:r w:rsidR="009B787B">
        <w:rPr>
          <w:rFonts w:ascii="Times New Roman" w:hAnsi="Times New Roman" w:cs="Times New Roman"/>
          <w:sz w:val="24"/>
          <w:szCs w:val="24"/>
        </w:rPr>
        <w:t>38</w:t>
      </w:r>
      <w:r w:rsidR="00543273" w:rsidRPr="00543273">
        <w:rPr>
          <w:rFonts w:ascii="Times New Roman" w:hAnsi="Times New Roman" w:cs="Times New Roman"/>
          <w:sz w:val="24"/>
          <w:szCs w:val="24"/>
        </w:rPr>
        <w:t xml:space="preserve"> percent gain.  Meat, Poultry, and Fish Cutters and Trimmers</w:t>
      </w:r>
      <w:r w:rsidR="00543273">
        <w:rPr>
          <w:rFonts w:ascii="Times New Roman" w:hAnsi="Times New Roman" w:cs="Times New Roman"/>
          <w:sz w:val="24"/>
          <w:szCs w:val="24"/>
        </w:rPr>
        <w:t xml:space="preserve"> is predicted to add </w:t>
      </w:r>
      <w:r w:rsidR="009B787B">
        <w:rPr>
          <w:rFonts w:ascii="Times New Roman" w:hAnsi="Times New Roman" w:cs="Times New Roman"/>
          <w:sz w:val="24"/>
          <w:szCs w:val="24"/>
        </w:rPr>
        <w:t>451</w:t>
      </w:r>
      <w:r w:rsidR="00543273">
        <w:rPr>
          <w:rFonts w:ascii="Times New Roman" w:hAnsi="Times New Roman" w:cs="Times New Roman"/>
          <w:sz w:val="24"/>
          <w:szCs w:val="24"/>
        </w:rPr>
        <w:t xml:space="preserve"> to its workforce, while </w:t>
      </w:r>
      <w:r w:rsidR="00543273" w:rsidRPr="00543273">
        <w:rPr>
          <w:rFonts w:ascii="Times New Roman" w:hAnsi="Times New Roman" w:cs="Times New Roman"/>
          <w:sz w:val="24"/>
          <w:szCs w:val="24"/>
        </w:rPr>
        <w:t>Food Cooking Machine Operators and Tenders</w:t>
      </w:r>
      <w:r w:rsidR="00543273" w:rsidRPr="00543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3273" w:rsidRPr="00543273">
        <w:rPr>
          <w:rFonts w:ascii="Times New Roman" w:hAnsi="Times New Roman" w:cs="Times New Roman"/>
          <w:sz w:val="24"/>
          <w:szCs w:val="24"/>
        </w:rPr>
        <w:t>is predicted to be the fastest growing occ</w:t>
      </w:r>
      <w:r w:rsidR="00543273">
        <w:rPr>
          <w:rFonts w:ascii="Times New Roman" w:hAnsi="Times New Roman" w:cs="Times New Roman"/>
          <w:sz w:val="24"/>
          <w:szCs w:val="24"/>
        </w:rPr>
        <w:t xml:space="preserve">upation in the family gaining </w:t>
      </w:r>
      <w:r w:rsidR="009B787B">
        <w:rPr>
          <w:rFonts w:ascii="Times New Roman" w:hAnsi="Times New Roman" w:cs="Times New Roman"/>
          <w:sz w:val="24"/>
          <w:szCs w:val="24"/>
        </w:rPr>
        <w:t>6</w:t>
      </w:r>
      <w:r w:rsidR="00543273">
        <w:rPr>
          <w:rFonts w:ascii="Times New Roman" w:hAnsi="Times New Roman" w:cs="Times New Roman"/>
          <w:sz w:val="24"/>
          <w:szCs w:val="24"/>
        </w:rPr>
        <w:t>.</w:t>
      </w:r>
      <w:r w:rsidR="009B787B">
        <w:rPr>
          <w:rFonts w:ascii="Times New Roman" w:hAnsi="Times New Roman" w:cs="Times New Roman"/>
          <w:sz w:val="24"/>
          <w:szCs w:val="24"/>
        </w:rPr>
        <w:t>39</w:t>
      </w:r>
      <w:r w:rsidR="00543273">
        <w:rPr>
          <w:rFonts w:ascii="Times New Roman" w:hAnsi="Times New Roman" w:cs="Times New Roman"/>
          <w:sz w:val="24"/>
          <w:szCs w:val="24"/>
        </w:rPr>
        <w:t xml:space="preserve"> percent.  An estimated 2,</w:t>
      </w:r>
      <w:r w:rsidR="009B787B">
        <w:rPr>
          <w:rFonts w:ascii="Times New Roman" w:hAnsi="Times New Roman" w:cs="Times New Roman"/>
          <w:sz w:val="24"/>
          <w:szCs w:val="24"/>
        </w:rPr>
        <w:t>790</w:t>
      </w:r>
      <w:r w:rsidR="00543273">
        <w:rPr>
          <w:rFonts w:ascii="Times New Roman" w:hAnsi="Times New Roman" w:cs="Times New Roman"/>
          <w:sz w:val="24"/>
          <w:szCs w:val="24"/>
        </w:rPr>
        <w:t xml:space="preserve"> annual job openings is expected</w:t>
      </w:r>
      <w:r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543273">
        <w:rPr>
          <w:rFonts w:ascii="Times New Roman" w:hAnsi="Times New Roman" w:cs="Times New Roman"/>
          <w:sz w:val="24"/>
          <w:szCs w:val="24"/>
        </w:rPr>
        <w:t>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543273" w:rsidRPr="00543273">
        <w:rPr>
          <w:rFonts w:ascii="Times New Roman" w:hAnsi="Times New Roman" w:cs="Times New Roman"/>
          <w:b/>
          <w:i/>
          <w:sz w:val="24"/>
          <w:szCs w:val="24"/>
        </w:rPr>
        <w:t>Metal Workers and Plastic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occupational family is expected to </w:t>
      </w:r>
      <w:r w:rsidR="00543273">
        <w:rPr>
          <w:rFonts w:ascii="Times New Roman" w:hAnsi="Times New Roman" w:cs="Times New Roman"/>
          <w:sz w:val="24"/>
          <w:szCs w:val="24"/>
        </w:rPr>
        <w:t xml:space="preserve">experience a </w:t>
      </w:r>
      <w:r w:rsidR="00625B97">
        <w:rPr>
          <w:rFonts w:ascii="Times New Roman" w:hAnsi="Times New Roman" w:cs="Times New Roman"/>
          <w:sz w:val="24"/>
          <w:szCs w:val="24"/>
        </w:rPr>
        <w:t xml:space="preserve">net gain of </w:t>
      </w:r>
      <w:r w:rsidR="009B787B">
        <w:rPr>
          <w:rFonts w:ascii="Times New Roman" w:hAnsi="Times New Roman" w:cs="Times New Roman"/>
          <w:sz w:val="24"/>
          <w:szCs w:val="24"/>
        </w:rPr>
        <w:t>833</w:t>
      </w:r>
      <w:r w:rsidR="00625B97">
        <w:rPr>
          <w:rFonts w:ascii="Times New Roman" w:hAnsi="Times New Roman" w:cs="Times New Roman"/>
          <w:sz w:val="24"/>
          <w:szCs w:val="24"/>
        </w:rPr>
        <w:t xml:space="preserve"> jobs.  </w:t>
      </w:r>
      <w:r w:rsidR="009B787B" w:rsidRPr="009B787B">
        <w:rPr>
          <w:rFonts w:ascii="Times New Roman" w:hAnsi="Times New Roman" w:cs="Times New Roman"/>
          <w:sz w:val="24"/>
          <w:szCs w:val="24"/>
        </w:rPr>
        <w:t>Welders, Cutters, Solderers, and Brazers</w:t>
      </w:r>
      <w:r w:rsidR="00E60D7A">
        <w:rPr>
          <w:rFonts w:ascii="Times New Roman" w:hAnsi="Times New Roman" w:cs="Times New Roman"/>
          <w:sz w:val="24"/>
          <w:szCs w:val="24"/>
        </w:rPr>
        <w:t xml:space="preserve"> is slated to add 202 new jobs, while </w:t>
      </w:r>
      <w:r w:rsidR="00E60D7A" w:rsidRPr="00E60D7A">
        <w:rPr>
          <w:rFonts w:ascii="Times New Roman" w:hAnsi="Times New Roman" w:cs="Times New Roman"/>
          <w:sz w:val="24"/>
          <w:szCs w:val="24"/>
        </w:rPr>
        <w:t>Machinists</w:t>
      </w:r>
      <w:r w:rsidR="00E60D7A">
        <w:rPr>
          <w:rFonts w:ascii="Times New Roman" w:hAnsi="Times New Roman" w:cs="Times New Roman"/>
          <w:sz w:val="24"/>
          <w:szCs w:val="24"/>
        </w:rPr>
        <w:t xml:space="preserve"> is projected to increase employment by 196.  </w:t>
      </w:r>
      <w:r w:rsidR="00E60D7A" w:rsidRPr="00E60D7A">
        <w:rPr>
          <w:rFonts w:ascii="Times New Roman" w:hAnsi="Times New Roman" w:cs="Times New Roman"/>
          <w:sz w:val="24"/>
          <w:szCs w:val="24"/>
        </w:rPr>
        <w:t>Computer Numerically Controlled Machine Tool Programmers, Metal and Plastic</w:t>
      </w:r>
      <w:r w:rsidR="00E60D7A">
        <w:rPr>
          <w:rFonts w:ascii="Times New Roman" w:hAnsi="Times New Roman" w:cs="Times New Roman"/>
          <w:sz w:val="24"/>
          <w:szCs w:val="24"/>
        </w:rPr>
        <w:t xml:space="preserve"> is set to increase by 7.32 percent.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5B97">
        <w:rPr>
          <w:rFonts w:ascii="Times New Roman" w:hAnsi="Times New Roman" w:cs="Times New Roman"/>
          <w:sz w:val="24"/>
          <w:szCs w:val="24"/>
        </w:rPr>
        <w:t xml:space="preserve">Around </w:t>
      </w:r>
      <w:r w:rsidR="00E60D7A">
        <w:rPr>
          <w:rFonts w:ascii="Times New Roman" w:hAnsi="Times New Roman" w:cs="Times New Roman"/>
          <w:sz w:val="24"/>
          <w:szCs w:val="24"/>
        </w:rPr>
        <w:t>3</w:t>
      </w:r>
      <w:r w:rsidR="00625B97">
        <w:rPr>
          <w:rFonts w:ascii="Times New Roman" w:hAnsi="Times New Roman" w:cs="Times New Roman"/>
          <w:sz w:val="24"/>
          <w:szCs w:val="24"/>
        </w:rPr>
        <w:t>,1</w:t>
      </w:r>
      <w:r w:rsidR="00E60D7A">
        <w:rPr>
          <w:rFonts w:ascii="Times New Roman" w:hAnsi="Times New Roman" w:cs="Times New Roman"/>
          <w:sz w:val="24"/>
          <w:szCs w:val="24"/>
        </w:rPr>
        <w:t>24</w:t>
      </w:r>
      <w:r w:rsidR="00625B97">
        <w:rPr>
          <w:rFonts w:ascii="Times New Roman" w:hAnsi="Times New Roman" w:cs="Times New Roman"/>
          <w:sz w:val="24"/>
          <w:szCs w:val="24"/>
        </w:rPr>
        <w:t xml:space="preserve"> job openings are projected to be available annually</w:t>
      </w:r>
      <w:r w:rsidR="00A523B4">
        <w:rPr>
          <w:rFonts w:ascii="Times New Roman" w:hAnsi="Times New Roman" w:cs="Times New Roman"/>
          <w:sz w:val="24"/>
          <w:szCs w:val="24"/>
        </w:rPr>
        <w:t xml:space="preserve"> in the occupational family</w:t>
      </w:r>
      <w:r w:rsidR="00625B97">
        <w:rPr>
          <w:rFonts w:ascii="Times New Roman" w:hAnsi="Times New Roman" w:cs="Times New Roman"/>
          <w:sz w:val="24"/>
          <w:szCs w:val="24"/>
        </w:rPr>
        <w:t>.</w:t>
      </w:r>
    </w:p>
    <w:p w:rsidR="00625B97" w:rsidRDefault="00625B97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0D7A">
        <w:rPr>
          <w:rFonts w:ascii="Times New Roman" w:hAnsi="Times New Roman" w:cs="Times New Roman"/>
          <w:sz w:val="24"/>
          <w:szCs w:val="24"/>
        </w:rPr>
        <w:t xml:space="preserve">The </w:t>
      </w:r>
      <w:r w:rsidRPr="00625B97">
        <w:rPr>
          <w:rFonts w:ascii="Times New Roman" w:hAnsi="Times New Roman" w:cs="Times New Roman"/>
          <w:b/>
          <w:i/>
          <w:sz w:val="24"/>
          <w:szCs w:val="24"/>
        </w:rPr>
        <w:t>Printing Workers</w:t>
      </w:r>
      <w:r>
        <w:rPr>
          <w:rFonts w:ascii="Times New Roman" w:hAnsi="Times New Roman" w:cs="Times New Roman"/>
          <w:sz w:val="24"/>
          <w:szCs w:val="24"/>
        </w:rPr>
        <w:t xml:space="preserve"> occupational family </w:t>
      </w:r>
      <w:r w:rsidR="00E60D7A">
        <w:rPr>
          <w:rFonts w:ascii="Times New Roman" w:hAnsi="Times New Roman" w:cs="Times New Roman"/>
          <w:sz w:val="24"/>
          <w:szCs w:val="24"/>
        </w:rPr>
        <w:t>is predicted to lose 41 jobs, or 1.54 percent of its workforce</w:t>
      </w:r>
      <w:r>
        <w:rPr>
          <w:rFonts w:ascii="Times New Roman" w:hAnsi="Times New Roman" w:cs="Times New Roman"/>
          <w:sz w:val="24"/>
          <w:szCs w:val="24"/>
        </w:rPr>
        <w:t xml:space="preserve">.  The family </w:t>
      </w:r>
      <w:r w:rsidR="00A523B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anticipat</w:t>
      </w:r>
      <w:r w:rsidR="00A523B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60D7A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annual job openings during the 201</w:t>
      </w:r>
      <w:r w:rsidR="00E60D7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="00E60D7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time period.</w:t>
      </w:r>
    </w:p>
    <w:p w:rsidR="00625B97" w:rsidRDefault="00625B97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Pr="00625B97">
        <w:rPr>
          <w:rFonts w:ascii="Times New Roman" w:hAnsi="Times New Roman" w:cs="Times New Roman"/>
          <w:b/>
          <w:i/>
          <w:sz w:val="24"/>
          <w:szCs w:val="24"/>
        </w:rPr>
        <w:t>Textile, Apparel, and Furnishings Workers</w:t>
      </w:r>
      <w:r>
        <w:rPr>
          <w:rFonts w:ascii="Times New Roman" w:hAnsi="Times New Roman" w:cs="Times New Roman"/>
          <w:sz w:val="24"/>
          <w:szCs w:val="24"/>
        </w:rPr>
        <w:t xml:space="preserve"> occupational family is predicted to </w:t>
      </w:r>
      <w:r w:rsidR="00E60D7A">
        <w:rPr>
          <w:rFonts w:ascii="Times New Roman" w:hAnsi="Times New Roman" w:cs="Times New Roman"/>
          <w:sz w:val="24"/>
          <w:szCs w:val="24"/>
        </w:rPr>
        <w:t>gain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D7A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 xml:space="preserve"> jobs during the projection period</w:t>
      </w:r>
      <w:r w:rsidR="00905AC6">
        <w:rPr>
          <w:rFonts w:ascii="Times New Roman" w:hAnsi="Times New Roman" w:cs="Times New Roman"/>
          <w:sz w:val="24"/>
          <w:szCs w:val="24"/>
        </w:rPr>
        <w:t xml:space="preserve">, a </w:t>
      </w:r>
      <w:r w:rsidR="00E60D7A">
        <w:rPr>
          <w:rFonts w:ascii="Times New Roman" w:hAnsi="Times New Roman" w:cs="Times New Roman"/>
          <w:sz w:val="24"/>
          <w:szCs w:val="24"/>
        </w:rPr>
        <w:t>2.60</w:t>
      </w:r>
      <w:r w:rsidR="00905AC6">
        <w:rPr>
          <w:rFonts w:ascii="Times New Roman" w:hAnsi="Times New Roman" w:cs="Times New Roman"/>
          <w:sz w:val="24"/>
          <w:szCs w:val="24"/>
        </w:rPr>
        <w:t xml:space="preserve"> percent </w:t>
      </w:r>
      <w:r w:rsidR="00E60D7A">
        <w:rPr>
          <w:rFonts w:ascii="Times New Roman" w:hAnsi="Times New Roman" w:cs="Times New Roman"/>
          <w:sz w:val="24"/>
          <w:szCs w:val="24"/>
        </w:rPr>
        <w:t>increase</w:t>
      </w:r>
      <w:r w:rsidR="00905AC6">
        <w:rPr>
          <w:rFonts w:ascii="Times New Roman" w:hAnsi="Times New Roman" w:cs="Times New Roman"/>
          <w:sz w:val="24"/>
          <w:szCs w:val="24"/>
        </w:rPr>
        <w:t xml:space="preserve">.  </w:t>
      </w:r>
      <w:r w:rsidR="00E60D7A" w:rsidRPr="00E60D7A">
        <w:rPr>
          <w:rFonts w:ascii="Times New Roman" w:hAnsi="Times New Roman" w:cs="Times New Roman"/>
          <w:sz w:val="24"/>
          <w:szCs w:val="24"/>
        </w:rPr>
        <w:t>Sewing Machine Operators</w:t>
      </w:r>
      <w:r w:rsidR="00E60D7A">
        <w:rPr>
          <w:rFonts w:ascii="Times New Roman" w:hAnsi="Times New Roman" w:cs="Times New Roman"/>
          <w:sz w:val="24"/>
          <w:szCs w:val="24"/>
        </w:rPr>
        <w:t xml:space="preserve"> is estimated to match the gain of the entire occupational family, with a gain of 141, increasing by </w:t>
      </w:r>
      <w:r w:rsidR="00A523B4">
        <w:rPr>
          <w:rFonts w:ascii="Times New Roman" w:hAnsi="Times New Roman" w:cs="Times New Roman"/>
          <w:sz w:val="24"/>
          <w:szCs w:val="24"/>
        </w:rPr>
        <w:t>8.05 percent</w:t>
      </w:r>
      <w:r w:rsidR="00E60D7A">
        <w:rPr>
          <w:rFonts w:ascii="Times New Roman" w:hAnsi="Times New Roman" w:cs="Times New Roman"/>
          <w:sz w:val="24"/>
          <w:szCs w:val="24"/>
        </w:rPr>
        <w:t xml:space="preserve">, while </w:t>
      </w:r>
      <w:r w:rsidR="00E60D7A" w:rsidRPr="00E60D7A">
        <w:rPr>
          <w:rFonts w:ascii="Times New Roman" w:hAnsi="Times New Roman" w:cs="Times New Roman"/>
          <w:sz w:val="24"/>
          <w:szCs w:val="24"/>
        </w:rPr>
        <w:t>Extruding and Forming Machine Setters, Operators, and Tenders, Synthetic and Glass Fibers</w:t>
      </w:r>
      <w:r w:rsidR="00A523B4">
        <w:rPr>
          <w:rFonts w:ascii="Times New Roman" w:hAnsi="Times New Roman" w:cs="Times New Roman"/>
          <w:sz w:val="24"/>
          <w:szCs w:val="24"/>
        </w:rPr>
        <w:t xml:space="preserve"> is</w:t>
      </w:r>
      <w:r w:rsidR="00E60D7A">
        <w:rPr>
          <w:rFonts w:ascii="Times New Roman" w:hAnsi="Times New Roman" w:cs="Times New Roman"/>
          <w:sz w:val="24"/>
          <w:szCs w:val="24"/>
        </w:rPr>
        <w:t xml:space="preserve"> forecast to increase employment by 11.31 percent, placing third in the state in percent growth.</w:t>
      </w:r>
      <w:r w:rsidR="00905AC6">
        <w:rPr>
          <w:rFonts w:ascii="Times New Roman" w:hAnsi="Times New Roman" w:cs="Times New Roman"/>
          <w:sz w:val="24"/>
          <w:szCs w:val="24"/>
        </w:rPr>
        <w:t xml:space="preserve">  The occupational family is estimated to have </w:t>
      </w:r>
      <w:r w:rsidR="00E60D7A">
        <w:rPr>
          <w:rFonts w:ascii="Times New Roman" w:hAnsi="Times New Roman" w:cs="Times New Roman"/>
          <w:sz w:val="24"/>
          <w:szCs w:val="24"/>
        </w:rPr>
        <w:t>728</w:t>
      </w:r>
      <w:r w:rsidR="00905AC6">
        <w:rPr>
          <w:rFonts w:ascii="Times New Roman" w:hAnsi="Times New Roman" w:cs="Times New Roman"/>
          <w:sz w:val="24"/>
          <w:szCs w:val="24"/>
        </w:rPr>
        <w:t xml:space="preserve"> job openings annually.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AC6" w:rsidRDefault="00905AC6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0D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905AC6">
        <w:rPr>
          <w:rFonts w:ascii="Times New Roman" w:hAnsi="Times New Roman" w:cs="Times New Roman"/>
          <w:b/>
          <w:i/>
          <w:sz w:val="24"/>
          <w:szCs w:val="24"/>
        </w:rPr>
        <w:t>Woodworkers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AC6">
        <w:rPr>
          <w:rFonts w:ascii="Times New Roman" w:hAnsi="Times New Roman" w:cs="Times New Roman"/>
          <w:sz w:val="24"/>
          <w:szCs w:val="24"/>
        </w:rPr>
        <w:t>occupational family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60D7A">
        <w:rPr>
          <w:rFonts w:ascii="Times New Roman" w:hAnsi="Times New Roman" w:cs="Times New Roman"/>
          <w:sz w:val="24"/>
          <w:szCs w:val="24"/>
        </w:rPr>
        <w:t xml:space="preserve">predicted to gain 101 new jobs, an increase of </w:t>
      </w:r>
      <w:r w:rsidR="00EF70EC">
        <w:rPr>
          <w:rFonts w:ascii="Times New Roman" w:hAnsi="Times New Roman" w:cs="Times New Roman"/>
          <w:sz w:val="24"/>
          <w:szCs w:val="24"/>
        </w:rPr>
        <w:t xml:space="preserve">3.79 percent.  </w:t>
      </w:r>
      <w:r w:rsidRPr="00905AC6">
        <w:rPr>
          <w:rFonts w:ascii="Times New Roman" w:hAnsi="Times New Roman" w:cs="Times New Roman"/>
          <w:sz w:val="24"/>
          <w:szCs w:val="24"/>
        </w:rPr>
        <w:t>Sawing Machine Setters, Operators, and Tenders, Wood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0EC">
        <w:rPr>
          <w:rFonts w:ascii="Times New Roman" w:hAnsi="Times New Roman" w:cs="Times New Roman"/>
          <w:sz w:val="24"/>
          <w:szCs w:val="24"/>
        </w:rPr>
        <w:t xml:space="preserve">is estimated to gain the most, with </w:t>
      </w:r>
      <w:r w:rsidR="00A523B4">
        <w:rPr>
          <w:rFonts w:ascii="Times New Roman" w:hAnsi="Times New Roman" w:cs="Times New Roman"/>
          <w:sz w:val="24"/>
          <w:szCs w:val="24"/>
        </w:rPr>
        <w:t>55</w:t>
      </w:r>
      <w:r w:rsidR="00EF70EC">
        <w:rPr>
          <w:rFonts w:ascii="Times New Roman" w:hAnsi="Times New Roman" w:cs="Times New Roman"/>
          <w:sz w:val="24"/>
          <w:szCs w:val="24"/>
        </w:rPr>
        <w:t xml:space="preserve"> new jobs on the horizon</w:t>
      </w:r>
      <w:r>
        <w:rPr>
          <w:rFonts w:ascii="Times New Roman" w:hAnsi="Times New Roman" w:cs="Times New Roman"/>
          <w:sz w:val="24"/>
          <w:szCs w:val="24"/>
        </w:rPr>
        <w:t xml:space="preserve">.  The occupational family is anticipating </w:t>
      </w:r>
      <w:r w:rsidR="00EF70EC"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905AC6" w:rsidRDefault="00905AC6" w:rsidP="000D6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0EC">
        <w:rPr>
          <w:rFonts w:ascii="Times New Roman" w:hAnsi="Times New Roman" w:cs="Times New Roman"/>
          <w:sz w:val="24"/>
          <w:szCs w:val="24"/>
        </w:rPr>
        <w:t>A mixed outlook is expected out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AC6">
        <w:rPr>
          <w:rFonts w:ascii="Times New Roman" w:hAnsi="Times New Roman" w:cs="Times New Roman"/>
          <w:b/>
          <w:i/>
          <w:sz w:val="24"/>
          <w:szCs w:val="24"/>
        </w:rPr>
        <w:t>Plant and System Operators</w:t>
      </w:r>
      <w:r w:rsidRPr="00905AC6">
        <w:rPr>
          <w:rFonts w:ascii="Times New Roman" w:hAnsi="Times New Roman" w:cs="Times New Roman"/>
          <w:sz w:val="24"/>
          <w:szCs w:val="24"/>
        </w:rPr>
        <w:t xml:space="preserve"> occupational family</w:t>
      </w:r>
      <w:r w:rsidR="00EF70EC">
        <w:rPr>
          <w:rFonts w:ascii="Times New Roman" w:hAnsi="Times New Roman" w:cs="Times New Roman"/>
          <w:sz w:val="24"/>
          <w:szCs w:val="24"/>
        </w:rPr>
        <w:t xml:space="preserve">, </w:t>
      </w:r>
      <w:r w:rsidR="00A523B4">
        <w:rPr>
          <w:rFonts w:ascii="Times New Roman" w:hAnsi="Times New Roman" w:cs="Times New Roman"/>
          <w:sz w:val="24"/>
          <w:szCs w:val="24"/>
        </w:rPr>
        <w:t xml:space="preserve">which is expected to increase by </w:t>
      </w:r>
      <w:r w:rsidR="00EF70EC">
        <w:rPr>
          <w:rFonts w:ascii="Times New Roman" w:hAnsi="Times New Roman" w:cs="Times New Roman"/>
          <w:sz w:val="24"/>
          <w:szCs w:val="24"/>
        </w:rPr>
        <w:t>0.05 percent.</w:t>
      </w:r>
      <w:r w:rsidR="006738F5">
        <w:rPr>
          <w:rFonts w:ascii="Times New Roman" w:hAnsi="Times New Roman" w:cs="Times New Roman"/>
          <w:sz w:val="24"/>
          <w:szCs w:val="24"/>
        </w:rPr>
        <w:t xml:space="preserve">  </w:t>
      </w:r>
      <w:r w:rsidR="00EF70EC" w:rsidRPr="00EF70EC">
        <w:rPr>
          <w:rFonts w:ascii="Times New Roman" w:hAnsi="Times New Roman" w:cs="Times New Roman"/>
          <w:sz w:val="24"/>
          <w:szCs w:val="24"/>
        </w:rPr>
        <w:t>Water and Wastewater Treatment Plant and System Operators</w:t>
      </w:r>
      <w:r w:rsidR="00EF70EC">
        <w:rPr>
          <w:rFonts w:ascii="Times New Roman" w:hAnsi="Times New Roman" w:cs="Times New Roman"/>
          <w:sz w:val="24"/>
          <w:szCs w:val="24"/>
        </w:rPr>
        <w:t xml:space="preserve"> is </w:t>
      </w:r>
      <w:r w:rsidR="00EF70EC">
        <w:rPr>
          <w:rFonts w:ascii="Times New Roman" w:hAnsi="Times New Roman" w:cs="Times New Roman"/>
          <w:sz w:val="24"/>
          <w:szCs w:val="24"/>
        </w:rPr>
        <w:lastRenderedPageBreak/>
        <w:t xml:space="preserve">predicted to gain 41 new jobs, but </w:t>
      </w:r>
      <w:r w:rsidR="00EF70EC" w:rsidRPr="00EF70EC">
        <w:rPr>
          <w:rFonts w:ascii="Times New Roman" w:hAnsi="Times New Roman" w:cs="Times New Roman"/>
          <w:sz w:val="24"/>
          <w:szCs w:val="24"/>
        </w:rPr>
        <w:t>Gas Plant Operators</w:t>
      </w:r>
      <w:r w:rsidR="00EF70EC">
        <w:rPr>
          <w:rFonts w:ascii="Times New Roman" w:hAnsi="Times New Roman" w:cs="Times New Roman"/>
          <w:sz w:val="24"/>
          <w:szCs w:val="24"/>
        </w:rPr>
        <w:t xml:space="preserve"> is projected to lose 36 jobs, or 14.81 percent of its workforce, ma</w:t>
      </w:r>
      <w:r w:rsidR="00A523B4">
        <w:rPr>
          <w:rFonts w:ascii="Times New Roman" w:hAnsi="Times New Roman" w:cs="Times New Roman"/>
          <w:sz w:val="24"/>
          <w:szCs w:val="24"/>
        </w:rPr>
        <w:t>king</w:t>
      </w:r>
      <w:r w:rsidR="00EF70EC">
        <w:rPr>
          <w:rFonts w:ascii="Times New Roman" w:hAnsi="Times New Roman" w:cs="Times New Roman"/>
          <w:sz w:val="24"/>
          <w:szCs w:val="24"/>
        </w:rPr>
        <w:t xml:space="preserve"> it the fastest declining industry in the </w:t>
      </w:r>
      <w:r w:rsidR="00EF70EC" w:rsidRPr="00EF70EC">
        <w:rPr>
          <w:rFonts w:ascii="Times New Roman" w:hAnsi="Times New Roman" w:cs="Times New Roman"/>
          <w:b/>
          <w:sz w:val="24"/>
          <w:szCs w:val="24"/>
        </w:rPr>
        <w:t>Production Occupations</w:t>
      </w:r>
      <w:r w:rsidR="00EF70EC">
        <w:rPr>
          <w:rFonts w:ascii="Times New Roman" w:hAnsi="Times New Roman" w:cs="Times New Roman"/>
          <w:sz w:val="24"/>
          <w:szCs w:val="24"/>
        </w:rPr>
        <w:t xml:space="preserve"> major group, as well as the state.  T</w:t>
      </w:r>
      <w:r w:rsidR="006738F5">
        <w:rPr>
          <w:rFonts w:ascii="Times New Roman" w:hAnsi="Times New Roman" w:cs="Times New Roman"/>
          <w:sz w:val="24"/>
          <w:szCs w:val="24"/>
        </w:rPr>
        <w:t>he occupational family is estimated to have 3</w:t>
      </w:r>
      <w:r w:rsidR="00EF70EC">
        <w:rPr>
          <w:rFonts w:ascii="Times New Roman" w:hAnsi="Times New Roman" w:cs="Times New Roman"/>
          <w:sz w:val="24"/>
          <w:szCs w:val="24"/>
        </w:rPr>
        <w:t>75</w:t>
      </w:r>
      <w:r w:rsidR="006738F5">
        <w:rPr>
          <w:rFonts w:ascii="Times New Roman" w:hAnsi="Times New Roman" w:cs="Times New Roman"/>
          <w:sz w:val="24"/>
          <w:szCs w:val="24"/>
        </w:rPr>
        <w:t xml:space="preserve"> annual job openings.</w:t>
      </w:r>
    </w:p>
    <w:p w:rsidR="00C8302D" w:rsidRPr="00EF7503" w:rsidRDefault="006738F5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One of the brighter outlooks in </w:t>
      </w:r>
      <w:r w:rsidRPr="006738F5">
        <w:rPr>
          <w:rFonts w:ascii="Times New Roman" w:hAnsi="Times New Roman" w:cs="Times New Roman"/>
          <w:b/>
          <w:sz w:val="24"/>
          <w:szCs w:val="24"/>
        </w:rPr>
        <w:t>Production Occupations</w:t>
      </w:r>
      <w:r>
        <w:rPr>
          <w:rFonts w:ascii="Times New Roman" w:hAnsi="Times New Roman" w:cs="Times New Roman"/>
          <w:sz w:val="24"/>
          <w:szCs w:val="24"/>
        </w:rPr>
        <w:t xml:space="preserve"> is in the </w:t>
      </w:r>
      <w:r w:rsidRPr="006738F5">
        <w:rPr>
          <w:rFonts w:ascii="Times New Roman" w:hAnsi="Times New Roman" w:cs="Times New Roman"/>
          <w:b/>
          <w:i/>
          <w:sz w:val="24"/>
          <w:szCs w:val="24"/>
        </w:rPr>
        <w:t>Other Production Occupations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8F5">
        <w:rPr>
          <w:rFonts w:ascii="Times New Roman" w:hAnsi="Times New Roman" w:cs="Times New Roman"/>
          <w:sz w:val="24"/>
          <w:szCs w:val="24"/>
        </w:rPr>
        <w:t>occupational f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6738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ly.  The occupational family anticipates </w:t>
      </w:r>
      <w:r w:rsidR="00EF70EC">
        <w:rPr>
          <w:rFonts w:ascii="Times New Roman" w:hAnsi="Times New Roman" w:cs="Times New Roman"/>
          <w:sz w:val="24"/>
          <w:szCs w:val="24"/>
        </w:rPr>
        <w:t>1,466</w:t>
      </w:r>
      <w:r>
        <w:rPr>
          <w:rFonts w:ascii="Times New Roman" w:hAnsi="Times New Roman" w:cs="Times New Roman"/>
          <w:sz w:val="24"/>
          <w:szCs w:val="24"/>
        </w:rPr>
        <w:t xml:space="preserve"> new jobs, a </w:t>
      </w:r>
      <w:r w:rsidR="00EF70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0E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percent rise in employment.  </w:t>
      </w:r>
      <w:r w:rsidRPr="006738F5">
        <w:rPr>
          <w:rFonts w:ascii="Times New Roman" w:hAnsi="Times New Roman" w:cs="Times New Roman"/>
          <w:sz w:val="24"/>
          <w:szCs w:val="24"/>
        </w:rPr>
        <w:t>Helpers--Production Workers</w:t>
      </w:r>
      <w:r>
        <w:rPr>
          <w:rFonts w:ascii="Times New Roman" w:hAnsi="Times New Roman" w:cs="Times New Roman"/>
          <w:sz w:val="24"/>
          <w:szCs w:val="24"/>
        </w:rPr>
        <w:t xml:space="preserve"> is predicted to be the top growing occupation with </w:t>
      </w:r>
      <w:r w:rsidR="00BE2195">
        <w:rPr>
          <w:rFonts w:ascii="Times New Roman" w:hAnsi="Times New Roman" w:cs="Times New Roman"/>
          <w:sz w:val="24"/>
          <w:szCs w:val="24"/>
        </w:rPr>
        <w:t>624</w:t>
      </w:r>
      <w:r>
        <w:rPr>
          <w:rFonts w:ascii="Times New Roman" w:hAnsi="Times New Roman" w:cs="Times New Roman"/>
          <w:sz w:val="24"/>
          <w:szCs w:val="24"/>
        </w:rPr>
        <w:t xml:space="preserve"> new jobs</w:t>
      </w:r>
      <w:r w:rsidR="00B122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2195">
        <w:rPr>
          <w:rFonts w:ascii="Times New Roman" w:hAnsi="Times New Roman" w:cs="Times New Roman"/>
          <w:sz w:val="24"/>
          <w:szCs w:val="24"/>
        </w:rPr>
        <w:t xml:space="preserve">This occupational family boasts six occupations estimated to increase by more than 5 percent, including </w:t>
      </w:r>
      <w:r w:rsidR="00BE2195" w:rsidRPr="00BE2195">
        <w:rPr>
          <w:rFonts w:ascii="Times New Roman" w:hAnsi="Times New Roman" w:cs="Times New Roman"/>
          <w:sz w:val="24"/>
          <w:szCs w:val="24"/>
        </w:rPr>
        <w:t>Cutters and Trimmers, Hand</w:t>
      </w:r>
      <w:r w:rsidR="00BE2195">
        <w:rPr>
          <w:rFonts w:ascii="Times New Roman" w:hAnsi="Times New Roman" w:cs="Times New Roman"/>
          <w:sz w:val="24"/>
          <w:szCs w:val="24"/>
        </w:rPr>
        <w:t xml:space="preserve">, with a 61.90 percent gain.  </w:t>
      </w:r>
      <w:r w:rsidR="00B122D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family is forecast to have 4,</w:t>
      </w:r>
      <w:r w:rsidR="00A523B4">
        <w:rPr>
          <w:rFonts w:ascii="Times New Roman" w:hAnsi="Times New Roman" w:cs="Times New Roman"/>
          <w:sz w:val="24"/>
          <w:szCs w:val="24"/>
        </w:rPr>
        <w:t>895</w:t>
      </w:r>
      <w:r>
        <w:rPr>
          <w:rFonts w:ascii="Times New Roman" w:hAnsi="Times New Roman" w:cs="Times New Roman"/>
          <w:sz w:val="24"/>
          <w:szCs w:val="24"/>
        </w:rPr>
        <w:t xml:space="preserve"> annual job openings.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68037" wp14:editId="74E1A993">
            <wp:extent cx="6005195" cy="4724400"/>
            <wp:effectExtent l="57150" t="57150" r="52705" b="571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lastRenderedPageBreak/>
        <w:drawing>
          <wp:inline distT="0" distB="0" distL="0" distR="0" wp14:anchorId="6DFD8037" wp14:editId="312CA30F">
            <wp:extent cx="6600825" cy="3857625"/>
            <wp:effectExtent l="57150" t="57150" r="47625" b="47625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273" w:rsidRDefault="00D91273" w:rsidP="00F54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2A18BAAF" wp14:editId="11BEA557">
            <wp:extent cx="6400800" cy="3740727"/>
            <wp:effectExtent l="57150" t="57150" r="57150" b="50800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1273" w:rsidRDefault="00D91273" w:rsidP="00CD75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7519" w:rsidRDefault="00CD7519" w:rsidP="005D697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0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Workforce Development Area Outlook</w:t>
      </w:r>
      <w:r w:rsidR="00F76A6E" w:rsidRPr="00810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91273" w:rsidRPr="00810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Production</w:t>
      </w:r>
      <w:r w:rsidR="000D6138" w:rsidRPr="00810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Occupation</w:t>
      </w:r>
      <w:r w:rsidR="000D6138" w:rsidRPr="006713B9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Workforce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Development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810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18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Estimated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810E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020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Projected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Numeric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Percent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Change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810E22" w:rsidRPr="00810E22" w:rsidRDefault="00810E22" w:rsidP="007904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Annual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Openings-</w:t>
            </w:r>
            <w:r w:rsidRPr="00810E22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br/>
              <w:t>Total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965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921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044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993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532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988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882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-0.22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</w:tr>
      <w:tr w:rsidR="00810E22" w:rsidRPr="00810E22" w:rsidTr="00810E22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810E22" w:rsidRPr="00810E22" w:rsidRDefault="00810E22" w:rsidP="00810E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810E2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288</w:t>
            </w:r>
          </w:p>
        </w:tc>
      </w:tr>
    </w:tbl>
    <w:p w:rsidR="00810E22" w:rsidRPr="006713B9" w:rsidRDefault="00810E22" w:rsidP="005D697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764F" w:rsidRPr="00D935FB" w:rsidRDefault="009F764F" w:rsidP="00CD7519">
      <w:pPr>
        <w:rPr>
          <w:rFonts w:ascii="Times New Roman" w:hAnsi="Times New Roman" w:cs="Times New Roman"/>
          <w:sz w:val="24"/>
          <w:szCs w:val="24"/>
        </w:rPr>
      </w:pPr>
    </w:p>
    <w:sectPr w:rsidR="009F764F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35EEF"/>
    <w:rsid w:val="000429F7"/>
    <w:rsid w:val="00056585"/>
    <w:rsid w:val="00066B43"/>
    <w:rsid w:val="00070BD4"/>
    <w:rsid w:val="000960E8"/>
    <w:rsid w:val="000D6138"/>
    <w:rsid w:val="00154FDA"/>
    <w:rsid w:val="0029218E"/>
    <w:rsid w:val="002E0A24"/>
    <w:rsid w:val="003369C7"/>
    <w:rsid w:val="003A4556"/>
    <w:rsid w:val="003A6F63"/>
    <w:rsid w:val="00440DB3"/>
    <w:rsid w:val="00457BC4"/>
    <w:rsid w:val="00490AD7"/>
    <w:rsid w:val="004D0738"/>
    <w:rsid w:val="00504AAD"/>
    <w:rsid w:val="00543273"/>
    <w:rsid w:val="00580031"/>
    <w:rsid w:val="005D6975"/>
    <w:rsid w:val="005F6BBA"/>
    <w:rsid w:val="00625B97"/>
    <w:rsid w:val="006468CA"/>
    <w:rsid w:val="006713B9"/>
    <w:rsid w:val="006738F5"/>
    <w:rsid w:val="00730EAB"/>
    <w:rsid w:val="00752A6F"/>
    <w:rsid w:val="00773BB3"/>
    <w:rsid w:val="007B4A77"/>
    <w:rsid w:val="00810E22"/>
    <w:rsid w:val="008262C4"/>
    <w:rsid w:val="00905AC6"/>
    <w:rsid w:val="00960BD9"/>
    <w:rsid w:val="009B787B"/>
    <w:rsid w:val="009F764F"/>
    <w:rsid w:val="00A304F2"/>
    <w:rsid w:val="00A523B4"/>
    <w:rsid w:val="00A903FA"/>
    <w:rsid w:val="00AF4491"/>
    <w:rsid w:val="00B122DB"/>
    <w:rsid w:val="00BA0624"/>
    <w:rsid w:val="00BE0E5F"/>
    <w:rsid w:val="00BE2195"/>
    <w:rsid w:val="00C8302D"/>
    <w:rsid w:val="00CC2B88"/>
    <w:rsid w:val="00CD7519"/>
    <w:rsid w:val="00CE1B52"/>
    <w:rsid w:val="00CE28F8"/>
    <w:rsid w:val="00CF53CC"/>
    <w:rsid w:val="00D257C2"/>
    <w:rsid w:val="00D91273"/>
    <w:rsid w:val="00D935FB"/>
    <w:rsid w:val="00E60D7A"/>
    <w:rsid w:val="00E61819"/>
    <w:rsid w:val="00EC493B"/>
    <w:rsid w:val="00EF6C8A"/>
    <w:rsid w:val="00EF70EC"/>
    <w:rsid w:val="00EF7503"/>
    <w:rsid w:val="00F127EA"/>
    <w:rsid w:val="00F54BEC"/>
    <w:rsid w:val="00F76A6E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Production Occupations</a:t>
            </a:r>
          </a:p>
        </c:rich>
      </c:tx>
      <c:layout>
        <c:manualLayout>
          <c:xMode val="edge"/>
          <c:yMode val="edge"/>
          <c:x val="0.25497273610598825"/>
          <c:y val="1.38927694522055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Supervisors of Production Workers (51-1000)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296451655608186E-3"/>
                  <c:y val="8.3323173313013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3.9199999999999999E-2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Assemblers and Fabricators (51-2000)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9999350562304805E-4"/>
                  <c:y val="8.144505122343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1.37E-2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Food Processing Workers (51-3000)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518E-3"/>
                  <c:y val="0.17866586233172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5.3800000000000001E-2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Metal Workers and Plastic Workers (51-4000)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7.3453771907543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3.2500000000000001E-2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Printing Workers (51-5100)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6263E-3"/>
                  <c:y val="5.9139996613326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-1.54E-2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Textile, Apparel, and Furnishings Workers (51-6000)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296711430686263E-3"/>
                  <c:y val="0.104838709677419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Woodworkers (51-7000)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296711430686263E-3"/>
                  <c:y val="6.72043010752688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3.7900000000000003E-2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Plant and System Operators (51-8000)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37802685841176E-2"/>
                  <c:y val="-0.298387096774193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5.0000000000000001E-4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Other Production Occupations (51-9000)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148355715343132E-3"/>
                  <c:y val="7.2580645161290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Production Occupations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4.3799999999999999E-2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5761776"/>
        <c:axId val="625762336"/>
        <c:axId val="0"/>
      </c:bar3DChart>
      <c:catAx>
        <c:axId val="62576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25762336"/>
        <c:crosses val="autoZero"/>
        <c:auto val="1"/>
        <c:lblAlgn val="ctr"/>
        <c:lblOffset val="100"/>
        <c:noMultiLvlLbl val="0"/>
      </c:catAx>
      <c:valAx>
        <c:axId val="62576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76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1</a:t>
            </a:r>
          </a:p>
        </c:rich>
      </c:tx>
      <c:layout>
        <c:manualLayout>
          <c:xMode val="edge"/>
          <c:yMode val="edge"/>
          <c:x val="0.14809648793900765"/>
          <c:y val="2.64255856906775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6884404600940041"/>
          <c:y val="0.20009591393668383"/>
          <c:w val="0.60034783530846525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Assemblers and Fabricators (51-2000)</c:v>
                </c:pt>
                <c:pt idx="1">
                  <c:v>Food Processing Workers (51-3000)</c:v>
                </c:pt>
                <c:pt idx="2">
                  <c:v>Metal Workers and Plastic Workers (51-4000)</c:v>
                </c:pt>
                <c:pt idx="3">
                  <c:v>Other Production Occupations (51-9000)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716</c:v>
                </c:pt>
                <c:pt idx="1">
                  <c:v>882</c:v>
                </c:pt>
                <c:pt idx="2">
                  <c:v>847</c:v>
                </c:pt>
                <c:pt idx="3">
                  <c:v>1474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Assemblers and Fabricators (51-2000)</c:v>
                </c:pt>
                <c:pt idx="1">
                  <c:v>Food Processing Workers (51-3000)</c:v>
                </c:pt>
                <c:pt idx="2">
                  <c:v>Metal Workers and Plastic Workers (51-4000)</c:v>
                </c:pt>
                <c:pt idx="3">
                  <c:v>Other Production Occupations (51-9000)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1182</c:v>
                </c:pt>
                <c:pt idx="1">
                  <c:v>1414</c:v>
                </c:pt>
                <c:pt idx="2">
                  <c:v>1861</c:v>
                </c:pt>
                <c:pt idx="3">
                  <c:v>2688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Sheet1!$A$2:$A$5</c:f>
              <c:strCache>
                <c:ptCount val="4"/>
                <c:pt idx="0">
                  <c:v>Assemblers and Fabricators (51-2000)</c:v>
                </c:pt>
                <c:pt idx="1">
                  <c:v>Food Processing Workers (51-3000)</c:v>
                </c:pt>
                <c:pt idx="2">
                  <c:v>Metal Workers and Plastic Workers (51-4000)</c:v>
                </c:pt>
                <c:pt idx="3">
                  <c:v>Other Production Occupations (51-9000)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112</c:v>
                </c:pt>
                <c:pt idx="1">
                  <c:v>494</c:v>
                </c:pt>
                <c:pt idx="2">
                  <c:v>416</c:v>
                </c:pt>
                <c:pt idx="3">
                  <c:v>733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2.574526669014858E-2"/>
                  <c:y val="2.5922685593244944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4149640385860859"/>
                  <c:y val="8.1138005897410972E-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Sheet1!$A$2:$A$5</c:f>
              <c:strCache>
                <c:ptCount val="4"/>
                <c:pt idx="0">
                  <c:v>Assemblers and Fabricators (51-2000)</c:v>
                </c:pt>
                <c:pt idx="1">
                  <c:v>Food Processing Workers (51-3000)</c:v>
                </c:pt>
                <c:pt idx="2">
                  <c:v>Metal Workers and Plastic Workers (51-4000)</c:v>
                </c:pt>
                <c:pt idx="3">
                  <c:v>Other Production Occupations (51-9000)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2010</c:v>
                </c:pt>
                <c:pt idx="1">
                  <c:v>2790</c:v>
                </c:pt>
                <c:pt idx="2">
                  <c:v>3124</c:v>
                </c:pt>
                <c:pt idx="3">
                  <c:v>4895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5766256"/>
        <c:axId val="625766816"/>
      </c:barChart>
      <c:catAx>
        <c:axId val="62576625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25766816"/>
        <c:crossesAt val="0"/>
        <c:auto val="1"/>
        <c:lblAlgn val="ctr"/>
        <c:lblOffset val="100"/>
        <c:tickLblSkip val="1"/>
        <c:noMultiLvlLbl val="0"/>
      </c:catAx>
      <c:valAx>
        <c:axId val="625766816"/>
        <c:scaling>
          <c:orientation val="minMax"/>
          <c:max val="55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5766256"/>
        <c:crosses val="autoZero"/>
        <c:crossBetween val="between"/>
        <c:majorUnit val="125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7877856177068775"/>
          <c:y val="0.77199831502543659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  <a:br>
              <a:rPr lang="en-US" sz="1600"/>
            </a:br>
            <a:r>
              <a:rPr lang="en-US" sz="1600"/>
              <a:t>Chart 2</a:t>
            </a:r>
          </a:p>
        </c:rich>
      </c:tx>
      <c:layout>
        <c:manualLayout>
          <c:xMode val="edge"/>
          <c:yMode val="edge"/>
          <c:x val="0.16805805524309461"/>
          <c:y val="2.64256781145141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2023231471066119"/>
          <c:y val="0.20009591393668383"/>
          <c:w val="0.54799681289838775"/>
          <c:h val="0.51492070898545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Production Workers (51-1000)</c:v>
                </c:pt>
                <c:pt idx="1">
                  <c:v>Printing Workers (51-5100)</c:v>
                </c:pt>
                <c:pt idx="2">
                  <c:v>Textile, Apparel, and Furnishings Workers (51-6000)</c:v>
                </c:pt>
                <c:pt idx="3">
                  <c:v>Woodworkers (51-7000)</c:v>
                </c:pt>
                <c:pt idx="4">
                  <c:v>Plant and System Operators (51-8000)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268</c:v>
                </c:pt>
                <c:pt idx="1">
                  <c:v>112</c:v>
                </c:pt>
                <c:pt idx="2">
                  <c:v>332</c:v>
                </c:pt>
                <c:pt idx="3">
                  <c:v>111</c:v>
                </c:pt>
                <c:pt idx="4">
                  <c:v>116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Supervisors of Production Workers (51-1000)</c:v>
                </c:pt>
                <c:pt idx="1">
                  <c:v>Printing Workers (51-5100)</c:v>
                </c:pt>
                <c:pt idx="2">
                  <c:v>Textile, Apparel, and Furnishings Workers (51-6000)</c:v>
                </c:pt>
                <c:pt idx="3">
                  <c:v>Woodworkers (51-7000)</c:v>
                </c:pt>
                <c:pt idx="4">
                  <c:v>Plant and System Operators (51-8000)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539</c:v>
                </c:pt>
                <c:pt idx="1">
                  <c:v>172</c:v>
                </c:pt>
                <c:pt idx="2">
                  <c:v>326</c:v>
                </c:pt>
                <c:pt idx="3">
                  <c:v>190</c:v>
                </c:pt>
                <c:pt idx="4">
                  <c:v>258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Supervisors of Production Workers (51-1000)</c:v>
                </c:pt>
                <c:pt idx="1">
                  <c:v>Printing Workers (51-5100)</c:v>
                </c:pt>
                <c:pt idx="2">
                  <c:v>Textile, Apparel, and Furnishings Workers (51-6000)</c:v>
                </c:pt>
                <c:pt idx="3">
                  <c:v>Woodworkers (51-7000)</c:v>
                </c:pt>
                <c:pt idx="4">
                  <c:v>Plant and System Operators (51-8000)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162</c:v>
                </c:pt>
                <c:pt idx="1">
                  <c:v>-20</c:v>
                </c:pt>
                <c:pt idx="2">
                  <c:v>70</c:v>
                </c:pt>
                <c:pt idx="3">
                  <c:v>50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4.3315523059617549E-2"/>
                  <c:y val="1.2064489392136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834020747406577E-2"/>
                  <c:y val="5.093913345721428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392857142857145E-2"/>
                      <c:h val="5.1596058981591648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5.8855611798525186E-2"/>
                  <c:y val="1.69872866061521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8392857142857145E-2"/>
                      <c:h val="3.801371602743204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Sheet1!$A$2:$A$6</c:f>
              <c:strCache>
                <c:ptCount val="5"/>
                <c:pt idx="0">
                  <c:v>Supervisors of Production Workers (51-1000)</c:v>
                </c:pt>
                <c:pt idx="1">
                  <c:v>Printing Workers (51-5100)</c:v>
                </c:pt>
                <c:pt idx="2">
                  <c:v>Textile, Apparel, and Furnishings Workers (51-6000)</c:v>
                </c:pt>
                <c:pt idx="3">
                  <c:v>Woodworkers (51-7000)</c:v>
                </c:pt>
                <c:pt idx="4">
                  <c:v>Plant and System Operators (51-8000)</c:v>
                </c:pt>
              </c:strCache>
            </c:strRef>
          </c:cat>
          <c:val>
            <c:numRef>
              <c:f>Sheet1!$E$2:$E$6</c:f>
              <c:numCache>
                <c:formatCode>#,##0</c:formatCode>
                <c:ptCount val="5"/>
                <c:pt idx="0">
                  <c:v>969</c:v>
                </c:pt>
                <c:pt idx="1">
                  <c:v>264</c:v>
                </c:pt>
                <c:pt idx="2">
                  <c:v>728</c:v>
                </c:pt>
                <c:pt idx="3">
                  <c:v>351</c:v>
                </c:pt>
                <c:pt idx="4">
                  <c:v>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5770736"/>
        <c:axId val="626500896"/>
      </c:barChart>
      <c:catAx>
        <c:axId val="62577073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low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26500896"/>
        <c:crossesAt val="0"/>
        <c:auto val="1"/>
        <c:lblAlgn val="ctr"/>
        <c:lblOffset val="100"/>
        <c:tickLblSkip val="1"/>
        <c:noMultiLvlLbl val="0"/>
      </c:catAx>
      <c:valAx>
        <c:axId val="626500896"/>
        <c:scaling>
          <c:orientation val="minMax"/>
          <c:max val="11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5770736"/>
        <c:crosses val="autoZero"/>
        <c:crossBetween val="between"/>
        <c:majorUnit val="25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44581802274715671"/>
          <c:y val="0.78473670842078525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0.4329</cdr:x>
      <cdr:y>0.89641</cdr:y>
    </cdr:from>
    <cdr:to>
      <cdr:x>1</cdr:x>
      <cdr:y>0.98272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00" y="3457998"/>
          <a:ext cx="3743325" cy="332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0.4256</cdr:x>
      <cdr:y>0.87804</cdr:y>
    </cdr:from>
    <cdr:to>
      <cdr:x>1</cdr:x>
      <cdr:y>0.96435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724150" y="3283988"/>
          <a:ext cx="3676650" cy="3228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33A31-49D9-4AA7-A410-E99CC233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2019-08-16T18:44:00Z</dcterms:modified>
</cp:coreProperties>
</file>